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4C0" w:rsidRPr="00922A7A" w:rsidRDefault="008564C0" w:rsidP="008564C0">
      <w:pPr>
        <w:spacing w:before="20" w:after="20" w:line="240" w:lineRule="auto"/>
        <w:outlineLvl w:val="1"/>
        <w:rPr>
          <w:rFonts w:asciiTheme="majorHAnsi" w:eastAsia="Times New Roman" w:hAnsiTheme="majorHAnsi" w:cstheme="majorHAnsi"/>
          <w:b/>
          <w:color w:val="333333"/>
          <w:sz w:val="24"/>
          <w:szCs w:val="24"/>
          <w:lang w:eastAsia="pl-PL"/>
        </w:rPr>
      </w:pPr>
      <w:r w:rsidRPr="00922A7A">
        <w:rPr>
          <w:rFonts w:asciiTheme="majorHAnsi" w:eastAsia="Times New Roman" w:hAnsiTheme="majorHAnsi" w:cstheme="majorHAnsi"/>
          <w:b/>
          <w:color w:val="333333"/>
          <w:sz w:val="24"/>
          <w:szCs w:val="24"/>
          <w:lang w:eastAsia="pl-PL"/>
        </w:rPr>
        <w:t>Czy wychowanie bez kar może być skuteczne?</w:t>
      </w:r>
    </w:p>
    <w:p w:rsidR="008564C0" w:rsidRDefault="008564C0" w:rsidP="008564C0">
      <w:p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</w:p>
    <w:p w:rsidR="008564C0" w:rsidRDefault="008564C0" w:rsidP="008564C0">
      <w:pPr>
        <w:spacing w:before="20" w:after="20" w:line="240" w:lineRule="auto"/>
        <w:ind w:firstLine="708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  <w:r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  <w:t>Odpowiedź na to pytanie jest jednoznaczna - „TAK!”.</w:t>
      </w:r>
    </w:p>
    <w:p w:rsidR="008564C0" w:rsidRDefault="008564C0" w:rsidP="008564C0">
      <w:p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  <w:r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  <w:t xml:space="preserve">Podejmując się tego tematu warto pochylić się nad zagadnieniem kary i wskazać, że nie jest pojęciem tożsamym z konsekwencją. </w:t>
      </w:r>
    </w:p>
    <w:p w:rsidR="008564C0" w:rsidRDefault="008564C0" w:rsidP="008564C0">
      <w:p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6"/>
        <w:gridCol w:w="3516"/>
        <w:gridCol w:w="3680"/>
      </w:tblGrid>
      <w:tr w:rsidR="008564C0" w:rsidTr="0036269E">
        <w:tc>
          <w:tcPr>
            <w:tcW w:w="186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</w:p>
        </w:tc>
        <w:tc>
          <w:tcPr>
            <w:tcW w:w="351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KONSEKWENCJA</w:t>
            </w:r>
          </w:p>
        </w:tc>
        <w:tc>
          <w:tcPr>
            <w:tcW w:w="3680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KARA</w:t>
            </w:r>
          </w:p>
        </w:tc>
      </w:tr>
      <w:tr w:rsidR="008564C0" w:rsidTr="0036269E">
        <w:tc>
          <w:tcPr>
            <w:tcW w:w="186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motywacja</w:t>
            </w:r>
          </w:p>
        </w:tc>
        <w:tc>
          <w:tcPr>
            <w:tcW w:w="351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Niezależna od humoru dorosłego</w:t>
            </w:r>
          </w:p>
        </w:tc>
        <w:tc>
          <w:tcPr>
            <w:tcW w:w="3680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Wyraz bezsilności i złości</w:t>
            </w:r>
          </w:p>
        </w:tc>
      </w:tr>
      <w:tr w:rsidR="008564C0" w:rsidTr="0036269E">
        <w:tc>
          <w:tcPr>
            <w:tcW w:w="186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przewidywalność</w:t>
            </w:r>
          </w:p>
        </w:tc>
        <w:tc>
          <w:tcPr>
            <w:tcW w:w="351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zapowiedziana</w:t>
            </w:r>
          </w:p>
        </w:tc>
        <w:tc>
          <w:tcPr>
            <w:tcW w:w="3680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Niezapowiedziana</w:t>
            </w:r>
          </w:p>
        </w:tc>
      </w:tr>
      <w:tr w:rsidR="008564C0" w:rsidTr="0036269E">
        <w:tc>
          <w:tcPr>
            <w:tcW w:w="186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Wynika z ...</w:t>
            </w:r>
          </w:p>
        </w:tc>
        <w:tc>
          <w:tcPr>
            <w:tcW w:w="351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Bezpośredniego zachowania dziecka</w:t>
            </w:r>
          </w:p>
        </w:tc>
        <w:tc>
          <w:tcPr>
            <w:tcW w:w="3680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Chęci udowodnienia przewagi nad dzieckiem</w:t>
            </w:r>
          </w:p>
        </w:tc>
      </w:tr>
      <w:tr w:rsidR="008564C0" w:rsidTr="0036269E">
        <w:tc>
          <w:tcPr>
            <w:tcW w:w="186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 xml:space="preserve">Korzyści </w:t>
            </w:r>
          </w:p>
        </w:tc>
        <w:tc>
          <w:tcPr>
            <w:tcW w:w="351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Gwarantuje poczucie bezpieczeństwa, przewidywalności i odpowiedzialności za postępowanie.</w:t>
            </w:r>
          </w:p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 xml:space="preserve">Prowadzi do zrozumienia i naprawienia błedu </w:t>
            </w:r>
          </w:p>
        </w:tc>
        <w:tc>
          <w:tcPr>
            <w:tcW w:w="3680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</w:p>
        </w:tc>
      </w:tr>
      <w:tr w:rsidR="008564C0" w:rsidTr="0036269E">
        <w:tc>
          <w:tcPr>
            <w:tcW w:w="186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Wady</w:t>
            </w:r>
          </w:p>
        </w:tc>
        <w:tc>
          <w:tcPr>
            <w:tcW w:w="3516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</w:p>
        </w:tc>
        <w:tc>
          <w:tcPr>
            <w:tcW w:w="3680" w:type="dxa"/>
          </w:tcPr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Zazwyczaj rodzi gniew, strach, a nawet chęć odwetu. Może również wzmacniać negatywne zachowania</w:t>
            </w:r>
          </w:p>
          <w:p w:rsidR="008564C0" w:rsidRDefault="008564C0" w:rsidP="0036269E">
            <w:pPr>
              <w:spacing w:before="20" w:after="20"/>
              <w:outlineLvl w:val="1"/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sz w:val="24"/>
                <w:szCs w:val="24"/>
                <w:lang w:eastAsia="pl-PL"/>
              </w:rPr>
              <w:t>Przyczynia się do zmniejszenia poczucia odpowiedzialności za zachowanie. Polega na wzbudzniu negatywnych odczuć</w:t>
            </w:r>
          </w:p>
        </w:tc>
      </w:tr>
    </w:tbl>
    <w:p w:rsidR="008564C0" w:rsidRDefault="008564C0" w:rsidP="008564C0">
      <w:p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</w:p>
    <w:p w:rsidR="008564C0" w:rsidRDefault="008564C0" w:rsidP="008564C0">
      <w:p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  <w:r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  <w:t xml:space="preserve">Fundamentalna zasada: </w:t>
      </w:r>
    </w:p>
    <w:p w:rsidR="008564C0" w:rsidRPr="00682795" w:rsidRDefault="008564C0" w:rsidP="008564C0">
      <w:p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  <w:r w:rsidRPr="00682795"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  <w:t>Oceniaj zachowanie, a nie dziecko (zamiast mówić „jesteś niegrzeczny”, powiedz: „Jest mi przykro, gdy nie sprzątasz swoich zabawek po skończonej zabawie”)</w:t>
      </w:r>
    </w:p>
    <w:p w:rsidR="008564C0" w:rsidRDefault="008564C0" w:rsidP="008564C0">
      <w:pPr>
        <w:spacing w:before="20" w:after="20"/>
        <w:rPr>
          <w:rFonts w:asciiTheme="majorHAnsi" w:hAnsiTheme="majorHAnsi" w:cstheme="majorHAnsi"/>
          <w:sz w:val="24"/>
          <w:szCs w:val="24"/>
        </w:rPr>
      </w:pPr>
    </w:p>
    <w:p w:rsidR="008564C0" w:rsidRDefault="008564C0" w:rsidP="008564C0">
      <w:p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Zasady, o których warto pamiętać: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Chcąc zakomunikować coś dziecku, najpierw je zatrzymaj dziecko („stop”)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Nawiąż kontakt wzrokowy</w:t>
      </w:r>
    </w:p>
    <w:p w:rsidR="008564C0" w:rsidRPr="00682795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Formułując komunikat, zadbaj by był on jasny i zrozumiały dla dziecka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Uwzględniaj perspektywę i uczucia dziecka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  <w:r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  <w:t>Określaj towarzyszące Ci uczucia i oczekiwania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  <w:r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  <w:t xml:space="preserve">Bądź konsekwentny 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  <w:r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  <w:t>Zachowaj spokój</w:t>
      </w:r>
    </w:p>
    <w:p w:rsidR="008564C0" w:rsidRPr="00682795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Daj czas na wyciszenie i uspokojenie emocji (zarówno sobie jak i dziecku) – Porozmawiaj o sytuacji „na chłodno”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Skłaniaj do poszukiwania rozwiązań, a nie dawaj „gotowe</w:t>
      </w:r>
      <w:r w:rsidR="0009150D">
        <w:rPr>
          <w:rFonts w:asciiTheme="majorHAnsi" w:hAnsiTheme="majorHAnsi" w:cstheme="majorHAnsi"/>
          <w:sz w:val="24"/>
          <w:szCs w:val="24"/>
        </w:rPr>
        <w:t>j</w:t>
      </w:r>
      <w:bookmarkStart w:id="0" w:name="_GoBack"/>
      <w:bookmarkEnd w:id="0"/>
      <w:r>
        <w:rPr>
          <w:rFonts w:asciiTheme="majorHAnsi" w:hAnsiTheme="majorHAnsi" w:cstheme="majorHAnsi"/>
          <w:sz w:val="24"/>
          <w:szCs w:val="24"/>
        </w:rPr>
        <w:t xml:space="preserve"> recepty”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 w:line="240" w:lineRule="auto"/>
        <w:outlineLvl w:val="1"/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</w:pPr>
      <w:r>
        <w:rPr>
          <w:rFonts w:asciiTheme="majorHAnsi" w:eastAsia="Times New Roman" w:hAnsiTheme="majorHAnsi" w:cstheme="majorHAnsi"/>
          <w:color w:val="333333"/>
          <w:sz w:val="24"/>
          <w:szCs w:val="24"/>
          <w:lang w:eastAsia="pl-PL"/>
        </w:rPr>
        <w:t>Wskazuj na zachowania pożądane w danej sytuacji (zapobiegaj; przypominaj o konsekwencjach)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 w:rsidRPr="00B36F93">
        <w:rPr>
          <w:rFonts w:asciiTheme="majorHAnsi" w:hAnsiTheme="majorHAnsi" w:cstheme="majorHAnsi"/>
          <w:sz w:val="24"/>
          <w:szCs w:val="24"/>
        </w:rPr>
        <w:lastRenderedPageBreak/>
        <w:t xml:space="preserve">Zamiast kategorycznego „nie” stosuj warunkowe „tak” (np. zamiast </w:t>
      </w:r>
      <w:r>
        <w:rPr>
          <w:rFonts w:asciiTheme="majorHAnsi" w:hAnsiTheme="majorHAnsi" w:cstheme="majorHAnsi"/>
          <w:sz w:val="24"/>
          <w:szCs w:val="24"/>
        </w:rPr>
        <w:t>„Nie możesz dłużej zostać</w:t>
      </w:r>
      <w:r w:rsidRPr="00B36F93">
        <w:rPr>
          <w:rFonts w:asciiTheme="majorHAnsi" w:hAnsiTheme="majorHAnsi" w:cstheme="majorHAnsi"/>
          <w:sz w:val="24"/>
          <w:szCs w:val="24"/>
        </w:rPr>
        <w:t xml:space="preserve"> na placu zabaw”</w:t>
      </w:r>
      <w:r>
        <w:rPr>
          <w:rFonts w:asciiTheme="majorHAnsi" w:hAnsiTheme="majorHAnsi" w:cstheme="majorHAnsi"/>
          <w:sz w:val="24"/>
          <w:szCs w:val="24"/>
        </w:rPr>
        <w:t>, powiedz: „</w:t>
      </w:r>
      <w:r w:rsidRPr="00B36F93">
        <w:rPr>
          <w:rFonts w:asciiTheme="majorHAnsi" w:hAnsiTheme="majorHAnsi" w:cstheme="majorHAnsi"/>
          <w:sz w:val="24"/>
          <w:szCs w:val="24"/>
        </w:rPr>
        <w:t>Widzę, że dobrz</w:t>
      </w:r>
      <w:r>
        <w:rPr>
          <w:rFonts w:asciiTheme="majorHAnsi" w:hAnsiTheme="majorHAnsi" w:cstheme="majorHAnsi"/>
          <w:sz w:val="24"/>
          <w:szCs w:val="24"/>
        </w:rPr>
        <w:t>e się bawisz i chciałbyś spędzić</w:t>
      </w:r>
      <w:r w:rsidRPr="00B36F93">
        <w:rPr>
          <w:rFonts w:asciiTheme="majorHAnsi" w:hAnsiTheme="majorHAnsi" w:cstheme="majorHAnsi"/>
          <w:sz w:val="24"/>
          <w:szCs w:val="24"/>
        </w:rPr>
        <w:t xml:space="preserve"> tu więcej czasu. Może przyjdziemy jutro</w:t>
      </w:r>
      <w:r>
        <w:rPr>
          <w:rFonts w:asciiTheme="majorHAnsi" w:hAnsiTheme="majorHAnsi" w:cstheme="majorHAnsi"/>
          <w:sz w:val="24"/>
          <w:szCs w:val="24"/>
        </w:rPr>
        <w:t>?”)</w:t>
      </w:r>
    </w:p>
    <w:p w:rsidR="008564C0" w:rsidRPr="00682795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Zapowiadaj to, co ma się wydarzyć (zamiast: „W tej chwili schodź z tej zjeżdżalni”, powiedz: „Jeszcze dwa razy zjedziesz na zjeżdżalni i wracamy do domu”)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Upewnij się, że dziecko zrozumiało Twoje polecenie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Doceniaj wysiłek i postępy (nawet te najmniejsze)</w:t>
      </w:r>
    </w:p>
    <w:p w:rsidR="008564C0" w:rsidRDefault="008564C0" w:rsidP="008564C0">
      <w:pPr>
        <w:pStyle w:val="ListParagraph"/>
        <w:numPr>
          <w:ilvl w:val="0"/>
          <w:numId w:val="1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Koncentruj się na tym co pozytwne (np. zamiast „nie uderzaj tak mocno” – powiedz „dotykaj delikatnie”)</w:t>
      </w:r>
    </w:p>
    <w:p w:rsidR="008564C0" w:rsidRDefault="008564C0" w:rsidP="008564C0">
      <w:pPr>
        <w:spacing w:before="20" w:after="20"/>
        <w:rPr>
          <w:rFonts w:asciiTheme="majorHAnsi" w:hAnsiTheme="majorHAnsi" w:cstheme="majorHAnsi"/>
          <w:sz w:val="24"/>
          <w:szCs w:val="24"/>
        </w:rPr>
      </w:pPr>
    </w:p>
    <w:p w:rsidR="008564C0" w:rsidRDefault="008564C0" w:rsidP="008564C0">
      <w:pPr>
        <w:spacing w:before="20" w:after="20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Podstawą wszelkich działań jest BEZWARUNKOWA AKCEPTACJA DZIECKA!</w:t>
      </w:r>
    </w:p>
    <w:p w:rsidR="008564C0" w:rsidRPr="00B36F93" w:rsidRDefault="008564C0" w:rsidP="008564C0">
      <w:pPr>
        <w:spacing w:before="20" w:after="20"/>
        <w:rPr>
          <w:rFonts w:asciiTheme="majorHAnsi" w:hAnsiTheme="majorHAnsi" w:cstheme="majorHAnsi"/>
          <w:sz w:val="24"/>
          <w:szCs w:val="24"/>
        </w:rPr>
      </w:pPr>
    </w:p>
    <w:p w:rsidR="008564C0" w:rsidRDefault="008564C0" w:rsidP="008564C0">
      <w:p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Wartościowa lektura, która pomoże Ci usprawnić komunikację z dzieckiem:</w:t>
      </w:r>
    </w:p>
    <w:p w:rsidR="008564C0" w:rsidRPr="004465A7" w:rsidRDefault="008564C0" w:rsidP="008564C0">
      <w:pPr>
        <w:pStyle w:val="ListParagraph"/>
        <w:numPr>
          <w:ilvl w:val="0"/>
          <w:numId w:val="2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Faber A., Mazlish E. „Jak mówić</w:t>
      </w:r>
      <w:r w:rsidRPr="004465A7">
        <w:rPr>
          <w:rFonts w:asciiTheme="majorHAnsi" w:hAnsiTheme="majorHAnsi" w:cstheme="majorHAnsi"/>
          <w:sz w:val="24"/>
          <w:szCs w:val="24"/>
        </w:rPr>
        <w:t xml:space="preserve">, żeby </w:t>
      </w:r>
      <w:r>
        <w:rPr>
          <w:rFonts w:asciiTheme="majorHAnsi" w:hAnsiTheme="majorHAnsi" w:cstheme="majorHAnsi"/>
          <w:sz w:val="24"/>
          <w:szCs w:val="24"/>
        </w:rPr>
        <w:t>dzieci nas słuchały. Jak słuchać, żeby dzieci do nas mówiły”</w:t>
      </w:r>
    </w:p>
    <w:p w:rsidR="008564C0" w:rsidRPr="004465A7" w:rsidRDefault="008564C0" w:rsidP="008564C0">
      <w:pPr>
        <w:pStyle w:val="ListParagraph"/>
        <w:numPr>
          <w:ilvl w:val="0"/>
          <w:numId w:val="2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 w:rsidRPr="004465A7">
        <w:rPr>
          <w:rFonts w:asciiTheme="majorHAnsi" w:hAnsiTheme="majorHAnsi" w:cstheme="majorHAnsi"/>
          <w:sz w:val="24"/>
          <w:szCs w:val="24"/>
        </w:rPr>
        <w:t xml:space="preserve">Siegel D. J. „Grzeczne dziecko. </w:t>
      </w:r>
      <w:r>
        <w:rPr>
          <w:rFonts w:asciiTheme="majorHAnsi" w:hAnsiTheme="majorHAnsi" w:cstheme="majorHAnsi"/>
          <w:sz w:val="24"/>
          <w:szCs w:val="24"/>
        </w:rPr>
        <w:t>Poradnik dla mądrych rodziców”</w:t>
      </w:r>
    </w:p>
    <w:p w:rsidR="008564C0" w:rsidRDefault="008564C0" w:rsidP="008564C0">
      <w:pPr>
        <w:pStyle w:val="ListParagraph"/>
        <w:numPr>
          <w:ilvl w:val="0"/>
          <w:numId w:val="2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 w:rsidRPr="004465A7">
        <w:rPr>
          <w:rFonts w:asciiTheme="majorHAnsi" w:hAnsiTheme="majorHAnsi" w:cstheme="majorHAnsi"/>
          <w:sz w:val="24"/>
          <w:szCs w:val="24"/>
        </w:rPr>
        <w:t>Gord</w:t>
      </w:r>
      <w:r>
        <w:rPr>
          <w:rFonts w:asciiTheme="majorHAnsi" w:hAnsiTheme="majorHAnsi" w:cstheme="majorHAnsi"/>
          <w:sz w:val="24"/>
          <w:szCs w:val="24"/>
        </w:rPr>
        <w:t>on T. „Wychowanie bez porażek”</w:t>
      </w:r>
    </w:p>
    <w:p w:rsidR="008564C0" w:rsidRPr="004465A7" w:rsidRDefault="008564C0" w:rsidP="008564C0">
      <w:pPr>
        <w:pStyle w:val="ListParagraph"/>
        <w:numPr>
          <w:ilvl w:val="0"/>
          <w:numId w:val="2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 w:rsidRPr="004465A7">
        <w:rPr>
          <w:rFonts w:asciiTheme="majorHAnsi" w:hAnsiTheme="majorHAnsi" w:cstheme="majorHAnsi"/>
          <w:sz w:val="24"/>
          <w:szCs w:val="24"/>
        </w:rPr>
        <w:t>Filliozat I. „Próbowałam już wszystkiego”</w:t>
      </w:r>
    </w:p>
    <w:p w:rsidR="008564C0" w:rsidRDefault="008564C0" w:rsidP="008564C0">
      <w:pPr>
        <w:pStyle w:val="ListParagraph"/>
        <w:numPr>
          <w:ilvl w:val="0"/>
          <w:numId w:val="2"/>
        </w:numPr>
        <w:spacing w:before="20" w:after="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Kołakowski A. „Sposób na trudne dziecko”</w:t>
      </w:r>
    </w:p>
    <w:p w:rsidR="008564C0" w:rsidRDefault="008564C0" w:rsidP="008564C0">
      <w:pPr>
        <w:pStyle w:val="NormalWeb"/>
        <w:spacing w:before="20" w:beforeAutospacing="0" w:after="20" w:afterAutospacing="0"/>
        <w:textAlignment w:val="baseline"/>
        <w:rPr>
          <w:rFonts w:asciiTheme="majorHAnsi" w:hAnsiTheme="majorHAnsi" w:cstheme="majorHAnsi"/>
          <w:color w:val="666666"/>
        </w:rPr>
      </w:pPr>
    </w:p>
    <w:p w:rsidR="00844A00" w:rsidRDefault="00844A00"/>
    <w:sectPr w:rsidR="00844A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666AE3"/>
    <w:multiLevelType w:val="hybridMultilevel"/>
    <w:tmpl w:val="CFCAFB5C"/>
    <w:lvl w:ilvl="0" w:tplc="A698C226"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F80757"/>
    <w:multiLevelType w:val="hybridMultilevel"/>
    <w:tmpl w:val="230E275E"/>
    <w:lvl w:ilvl="0" w:tplc="A0FC7F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4C0"/>
    <w:rsid w:val="0009150D"/>
    <w:rsid w:val="00844A00"/>
    <w:rsid w:val="0085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C65D7"/>
  <w15:chartTrackingRefBased/>
  <w15:docId w15:val="{E247C397-9D6A-481F-9D42-1C259BCF3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4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6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Paragraph">
    <w:name w:val="List Paragraph"/>
    <w:basedOn w:val="Normal"/>
    <w:uiPriority w:val="34"/>
    <w:qFormat/>
    <w:rsid w:val="008564C0"/>
    <w:pPr>
      <w:ind w:left="720"/>
      <w:contextualSpacing/>
    </w:pPr>
  </w:style>
  <w:style w:type="table" w:styleId="TableGrid">
    <w:name w:val="Table Grid"/>
    <w:basedOn w:val="TableNormal"/>
    <w:uiPriority w:val="39"/>
    <w:rsid w:val="00856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sara.wiecek@poczta.onet.pl</dc:creator>
  <cp:keywords/>
  <dc:description/>
  <cp:lastModifiedBy>sara.wiecek@poczta.onet.pl</cp:lastModifiedBy>
  <cp:revision>2</cp:revision>
  <dcterms:created xsi:type="dcterms:W3CDTF">2024-05-26T07:32:00Z</dcterms:created>
  <dcterms:modified xsi:type="dcterms:W3CDTF">2024-05-27T13:36:00Z</dcterms:modified>
</cp:coreProperties>
</file>